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6A9D" w14:textId="77777777" w:rsidR="00F034DB" w:rsidRPr="00F034DB" w:rsidRDefault="00F034DB" w:rsidP="00F034DB">
      <w:pPr>
        <w:rPr>
          <w:rFonts w:cstheme="minorHAnsi"/>
          <w:sz w:val="20"/>
          <w:szCs w:val="20"/>
        </w:rPr>
      </w:pPr>
      <w:r w:rsidRPr="00F034DB">
        <w:rPr>
          <w:rFonts w:cstheme="minorHAnsi"/>
          <w:sz w:val="20"/>
          <w:szCs w:val="20"/>
        </w:rPr>
        <w:t xml:space="preserve">At </w:t>
      </w:r>
      <w:proofErr w:type="spellStart"/>
      <w:r w:rsidRPr="00F034DB">
        <w:rPr>
          <w:rFonts w:cstheme="minorHAnsi"/>
          <w:sz w:val="20"/>
          <w:szCs w:val="20"/>
        </w:rPr>
        <w:t>Nicer</w:t>
      </w:r>
      <w:proofErr w:type="spellEnd"/>
      <w:r w:rsidRPr="00F034DB">
        <w:rPr>
          <w:rFonts w:cstheme="minorHAnsi"/>
          <w:sz w:val="20"/>
          <w:szCs w:val="20"/>
        </w:rPr>
        <w:t xml:space="preserve"> Hotel, in </w:t>
      </w:r>
      <w:proofErr w:type="spellStart"/>
      <w:r w:rsidRPr="00F034DB">
        <w:rPr>
          <w:rFonts w:cstheme="minorHAnsi"/>
          <w:sz w:val="20"/>
          <w:szCs w:val="20"/>
        </w:rPr>
        <w:t>line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tourism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approach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we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aim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establish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long-term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partnerships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within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chain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based</w:t>
      </w:r>
      <w:proofErr w:type="spellEnd"/>
      <w:r w:rsidRPr="00F034DB">
        <w:rPr>
          <w:rFonts w:cstheme="minorHAnsi"/>
          <w:sz w:val="20"/>
          <w:szCs w:val="20"/>
        </w:rPr>
        <w:t xml:space="preserve"> on </w:t>
      </w:r>
      <w:proofErr w:type="spellStart"/>
      <w:r w:rsidRPr="00F034DB">
        <w:rPr>
          <w:rFonts w:cstheme="minorHAnsi"/>
          <w:sz w:val="20"/>
          <w:szCs w:val="20"/>
        </w:rPr>
        <w:t>environmental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friendliness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social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responsibility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principles</w:t>
      </w:r>
      <w:proofErr w:type="spellEnd"/>
      <w:r w:rsidRPr="00F034DB">
        <w:rPr>
          <w:rFonts w:cstheme="minorHAnsi"/>
          <w:sz w:val="20"/>
          <w:szCs w:val="20"/>
        </w:rPr>
        <w:t xml:space="preserve">. </w:t>
      </w:r>
      <w:proofErr w:type="spellStart"/>
      <w:r w:rsidRPr="00F034DB">
        <w:rPr>
          <w:rFonts w:cstheme="minorHAnsi"/>
          <w:sz w:val="20"/>
          <w:szCs w:val="20"/>
        </w:rPr>
        <w:t>Accordingly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we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expect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business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partners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act</w:t>
      </w:r>
      <w:proofErr w:type="spellEnd"/>
      <w:r w:rsidRPr="00F034DB">
        <w:rPr>
          <w:rFonts w:cstheme="minorHAnsi"/>
          <w:sz w:val="20"/>
          <w:szCs w:val="20"/>
        </w:rPr>
        <w:t xml:space="preserve"> in </w:t>
      </w:r>
      <w:proofErr w:type="spellStart"/>
      <w:r w:rsidRPr="00F034DB">
        <w:rPr>
          <w:rFonts w:cstheme="minorHAnsi"/>
          <w:sz w:val="20"/>
          <w:szCs w:val="20"/>
        </w:rPr>
        <w:t>compliance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following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principles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71F6B7A3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proofErr w:type="spellStart"/>
      <w:r w:rsidRPr="00F034DB">
        <w:rPr>
          <w:rFonts w:cstheme="minorHAnsi"/>
          <w:b/>
          <w:bCs/>
          <w:sz w:val="20"/>
          <w:szCs w:val="20"/>
        </w:rPr>
        <w:t>Supplier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Responsibilities</w:t>
      </w:r>
      <w:proofErr w:type="spellEnd"/>
    </w:p>
    <w:p w14:paraId="20EFE7AC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1.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Quality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and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Compliance</w:t>
      </w:r>
      <w:proofErr w:type="spellEnd"/>
    </w:p>
    <w:p w14:paraId="2E9763EA" w14:textId="77777777" w:rsidR="00F034DB" w:rsidRPr="00F034DB" w:rsidRDefault="00F034DB" w:rsidP="00F034DB">
      <w:pPr>
        <w:rPr>
          <w:rFonts w:cstheme="minorHAnsi"/>
          <w:sz w:val="20"/>
          <w:szCs w:val="20"/>
        </w:rPr>
      </w:pPr>
      <w:r w:rsidRPr="00F034DB">
        <w:rPr>
          <w:rFonts w:cstheme="minorHAnsi"/>
          <w:sz w:val="20"/>
          <w:szCs w:val="20"/>
        </w:rPr>
        <w:t xml:space="preserve">Suppliers </w:t>
      </w:r>
      <w:proofErr w:type="spellStart"/>
      <w:r w:rsidRPr="00F034DB">
        <w:rPr>
          <w:rFonts w:cstheme="minorHAnsi"/>
          <w:sz w:val="20"/>
          <w:szCs w:val="20"/>
        </w:rPr>
        <w:t>are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expected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operate</w:t>
      </w:r>
      <w:proofErr w:type="spellEnd"/>
      <w:r w:rsidRPr="00F034DB">
        <w:rPr>
          <w:rFonts w:cstheme="minorHAnsi"/>
          <w:sz w:val="20"/>
          <w:szCs w:val="20"/>
        </w:rPr>
        <w:t xml:space="preserve"> in </w:t>
      </w:r>
      <w:proofErr w:type="spellStart"/>
      <w:r w:rsidRPr="00F034DB">
        <w:rPr>
          <w:rFonts w:cstheme="minorHAnsi"/>
          <w:sz w:val="20"/>
          <w:szCs w:val="20"/>
        </w:rPr>
        <w:t>accordance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international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standards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applicable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legislation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related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quality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management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environmental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protection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occupational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health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safety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00E0C4DB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2. Environment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and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Nature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Protection</w:t>
      </w:r>
      <w:proofErr w:type="spellEnd"/>
    </w:p>
    <w:p w14:paraId="49ECA58D" w14:textId="77777777" w:rsidR="00F034DB" w:rsidRPr="00F034DB" w:rsidRDefault="00F034DB" w:rsidP="00F034DB">
      <w:pPr>
        <w:numPr>
          <w:ilvl w:val="0"/>
          <w:numId w:val="12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ensure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that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production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processes</w:t>
      </w:r>
      <w:proofErr w:type="spellEnd"/>
      <w:r w:rsidRPr="00F034DB">
        <w:rPr>
          <w:rFonts w:cstheme="minorHAnsi"/>
          <w:sz w:val="20"/>
          <w:szCs w:val="20"/>
        </w:rPr>
        <w:t xml:space="preserve"> do not </w:t>
      </w:r>
      <w:proofErr w:type="spellStart"/>
      <w:r w:rsidRPr="00F034DB">
        <w:rPr>
          <w:rFonts w:cstheme="minorHAnsi"/>
          <w:sz w:val="20"/>
          <w:szCs w:val="20"/>
        </w:rPr>
        <w:t>harm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nature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adopt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environmental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sustainability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criteria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16980192" w14:textId="77777777" w:rsidR="00F034DB" w:rsidRPr="00F034DB" w:rsidRDefault="00F034DB" w:rsidP="00F034DB">
      <w:pPr>
        <w:numPr>
          <w:ilvl w:val="0"/>
          <w:numId w:val="12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use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natural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resources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consciously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responsibly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take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measures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reduce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their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impact</w:t>
      </w:r>
      <w:proofErr w:type="spellEnd"/>
      <w:r w:rsidRPr="00F034DB">
        <w:rPr>
          <w:rFonts w:cstheme="minorHAnsi"/>
          <w:sz w:val="20"/>
          <w:szCs w:val="20"/>
        </w:rPr>
        <w:t xml:space="preserve"> on </w:t>
      </w:r>
      <w:proofErr w:type="spellStart"/>
      <w:r w:rsidRPr="00F034DB">
        <w:rPr>
          <w:rFonts w:cstheme="minorHAnsi"/>
          <w:sz w:val="20"/>
          <w:szCs w:val="20"/>
        </w:rPr>
        <w:t>ecosystems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6080F9D5" w14:textId="77777777" w:rsidR="00F034DB" w:rsidRPr="00F034DB" w:rsidRDefault="00F034DB" w:rsidP="00F034DB">
      <w:pPr>
        <w:numPr>
          <w:ilvl w:val="0"/>
          <w:numId w:val="12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comply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strictly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wildlife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protection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principles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observe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hunting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bans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refrain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from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trading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endangered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species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4EFD3845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3.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Waste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and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Resource Management</w:t>
      </w:r>
    </w:p>
    <w:p w14:paraId="63648B60" w14:textId="77777777" w:rsidR="00F034DB" w:rsidRPr="00F034DB" w:rsidRDefault="00F034DB" w:rsidP="00F034DB">
      <w:pPr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develop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waste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management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strategies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that</w:t>
      </w:r>
      <w:proofErr w:type="spellEnd"/>
      <w:r w:rsidRPr="00F034DB">
        <w:rPr>
          <w:rFonts w:cstheme="minorHAnsi"/>
          <w:sz w:val="20"/>
          <w:szCs w:val="20"/>
        </w:rPr>
        <w:t xml:space="preserve"> minimize </w:t>
      </w:r>
      <w:proofErr w:type="spellStart"/>
      <w:r w:rsidRPr="00F034DB">
        <w:rPr>
          <w:rFonts w:cstheme="minorHAnsi"/>
          <w:sz w:val="20"/>
          <w:szCs w:val="20"/>
        </w:rPr>
        <w:t>waste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prevent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unnecessary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consumption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2343D9B0" w14:textId="77777777" w:rsidR="00F034DB" w:rsidRPr="00F034DB" w:rsidRDefault="00F034DB" w:rsidP="00F034DB">
      <w:pPr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reduce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excessive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packaging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prefer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recyclable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environmentally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friendly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packaging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solutions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7D02F96B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4.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Environmentally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Friendly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Products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and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Ethical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Values</w:t>
      </w:r>
      <w:proofErr w:type="spellEnd"/>
    </w:p>
    <w:p w14:paraId="76277ED2" w14:textId="77777777" w:rsidR="00F034DB" w:rsidRPr="00F034DB" w:rsidRDefault="00F034DB" w:rsidP="00F034DB">
      <w:pPr>
        <w:numPr>
          <w:ilvl w:val="0"/>
          <w:numId w:val="14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provide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energy-efficient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environmentally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friendly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products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that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comply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ethical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standards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64392F5B" w14:textId="77777777" w:rsidR="00F034DB" w:rsidRPr="00F034DB" w:rsidRDefault="00F034DB" w:rsidP="00F034DB">
      <w:pPr>
        <w:numPr>
          <w:ilvl w:val="0"/>
          <w:numId w:val="14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use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recyclable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materials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materials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low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environmental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impact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00DA93A6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5.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Support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for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the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Local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Economy</w:t>
      </w:r>
      <w:proofErr w:type="spellEnd"/>
    </w:p>
    <w:p w14:paraId="5C5EF5C2" w14:textId="77777777" w:rsidR="00F034DB" w:rsidRPr="00F034DB" w:rsidRDefault="00F034DB" w:rsidP="00F034DB">
      <w:pPr>
        <w:numPr>
          <w:ilvl w:val="0"/>
          <w:numId w:val="15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source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from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local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producers</w:t>
      </w:r>
      <w:proofErr w:type="spellEnd"/>
      <w:r w:rsidRPr="00F034DB">
        <w:rPr>
          <w:rFonts w:cstheme="minorHAnsi"/>
          <w:sz w:val="20"/>
          <w:szCs w:val="20"/>
        </w:rPr>
        <w:t xml:space="preserve"> in </w:t>
      </w:r>
      <w:proofErr w:type="spellStart"/>
      <w:r w:rsidRPr="00F034DB">
        <w:rPr>
          <w:rFonts w:cstheme="minorHAnsi"/>
          <w:sz w:val="20"/>
          <w:szCs w:val="20"/>
        </w:rPr>
        <w:t>order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contribute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regional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development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420704FF" w14:textId="77777777" w:rsidR="00F034DB" w:rsidRPr="00F034DB" w:rsidRDefault="00F034DB" w:rsidP="00F034DB">
      <w:pPr>
        <w:numPr>
          <w:ilvl w:val="0"/>
          <w:numId w:val="15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offer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products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services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that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support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country’s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culinary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culture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traditions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authentic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values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225770B2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r w:rsidRPr="00F034DB">
        <w:rPr>
          <w:rFonts w:cstheme="minorHAnsi"/>
          <w:b/>
          <w:bCs/>
          <w:sz w:val="20"/>
          <w:szCs w:val="20"/>
        </w:rPr>
        <w:t xml:space="preserve">6.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Carbon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Footprint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Reduction</w:t>
      </w:r>
      <w:proofErr w:type="spellEnd"/>
    </w:p>
    <w:p w14:paraId="0F8B3023" w14:textId="77777777" w:rsidR="00F034DB" w:rsidRPr="00F034DB" w:rsidRDefault="00F034DB" w:rsidP="00F034DB">
      <w:pPr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take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measures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reduce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carbon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emissions</w:t>
      </w:r>
      <w:proofErr w:type="spellEnd"/>
      <w:r w:rsidRPr="00F034DB">
        <w:rPr>
          <w:rFonts w:cstheme="minorHAnsi"/>
          <w:sz w:val="20"/>
          <w:szCs w:val="20"/>
        </w:rPr>
        <w:t xml:space="preserve"> in </w:t>
      </w:r>
      <w:proofErr w:type="spellStart"/>
      <w:r w:rsidRPr="00F034DB">
        <w:rPr>
          <w:rFonts w:cstheme="minorHAnsi"/>
          <w:sz w:val="20"/>
          <w:szCs w:val="20"/>
        </w:rPr>
        <w:t>logistics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processes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prefer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transportation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methods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69C26F87" w14:textId="77777777" w:rsidR="00F034DB" w:rsidRPr="00F034DB" w:rsidRDefault="00F034DB" w:rsidP="00F034DB">
      <w:pPr>
        <w:rPr>
          <w:rFonts w:cstheme="minorHAnsi"/>
          <w:b/>
          <w:bCs/>
          <w:sz w:val="20"/>
          <w:szCs w:val="20"/>
        </w:rPr>
      </w:pPr>
      <w:proofErr w:type="spellStart"/>
      <w:r w:rsidRPr="00F034DB">
        <w:rPr>
          <w:rFonts w:cstheme="minorHAnsi"/>
          <w:b/>
          <w:bCs/>
          <w:sz w:val="20"/>
          <w:szCs w:val="20"/>
        </w:rPr>
        <w:t>Our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Shared</w:t>
      </w:r>
      <w:proofErr w:type="spellEnd"/>
      <w:r w:rsidRPr="00F034D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b/>
          <w:bCs/>
          <w:sz w:val="20"/>
          <w:szCs w:val="20"/>
        </w:rPr>
        <w:t>Objectives</w:t>
      </w:r>
      <w:proofErr w:type="spellEnd"/>
    </w:p>
    <w:p w14:paraId="633D6C73" w14:textId="77777777" w:rsidR="00F034DB" w:rsidRPr="00F034DB" w:rsidRDefault="00F034DB" w:rsidP="00F034DB">
      <w:pPr>
        <w:rPr>
          <w:rFonts w:cstheme="minorHAnsi"/>
          <w:sz w:val="20"/>
          <w:szCs w:val="20"/>
        </w:rPr>
      </w:pPr>
      <w:r w:rsidRPr="00F034DB">
        <w:rPr>
          <w:rFonts w:cstheme="minorHAnsi"/>
          <w:sz w:val="20"/>
          <w:szCs w:val="20"/>
        </w:rPr>
        <w:t xml:space="preserve">At </w:t>
      </w:r>
      <w:proofErr w:type="spellStart"/>
      <w:r w:rsidRPr="00F034DB">
        <w:rPr>
          <w:rFonts w:cstheme="minorHAnsi"/>
          <w:sz w:val="20"/>
          <w:szCs w:val="20"/>
        </w:rPr>
        <w:t>Nicer</w:t>
      </w:r>
      <w:proofErr w:type="spellEnd"/>
      <w:r w:rsidRPr="00F034DB">
        <w:rPr>
          <w:rFonts w:cstheme="minorHAnsi"/>
          <w:sz w:val="20"/>
          <w:szCs w:val="20"/>
        </w:rPr>
        <w:t xml:space="preserve"> Hotel, </w:t>
      </w:r>
      <w:proofErr w:type="spellStart"/>
      <w:r w:rsidRPr="00F034DB">
        <w:rPr>
          <w:rFonts w:cstheme="minorHAnsi"/>
          <w:sz w:val="20"/>
          <w:szCs w:val="20"/>
        </w:rPr>
        <w:t>together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business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partners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we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aim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build</w:t>
      </w:r>
      <w:proofErr w:type="spellEnd"/>
      <w:r w:rsidRPr="00F034DB">
        <w:rPr>
          <w:rFonts w:cstheme="minorHAnsi"/>
          <w:sz w:val="20"/>
          <w:szCs w:val="20"/>
        </w:rPr>
        <w:t xml:space="preserve"> an </w:t>
      </w:r>
      <w:proofErr w:type="spellStart"/>
      <w:r w:rsidRPr="00F034DB">
        <w:rPr>
          <w:rFonts w:cstheme="minorHAnsi"/>
          <w:sz w:val="20"/>
          <w:szCs w:val="20"/>
        </w:rPr>
        <w:t>environmentally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responsible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chain</w:t>
      </w:r>
      <w:proofErr w:type="spellEnd"/>
      <w:r w:rsidRPr="00F034DB">
        <w:rPr>
          <w:rFonts w:cstheme="minorHAnsi"/>
          <w:sz w:val="20"/>
          <w:szCs w:val="20"/>
        </w:rPr>
        <w:t xml:space="preserve">. </w:t>
      </w:r>
      <w:proofErr w:type="spellStart"/>
      <w:r w:rsidRPr="00F034DB">
        <w:rPr>
          <w:rFonts w:cstheme="minorHAnsi"/>
          <w:sz w:val="20"/>
          <w:szCs w:val="20"/>
        </w:rPr>
        <w:t>We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are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committed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developing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business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models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that</w:t>
      </w:r>
      <w:proofErr w:type="spellEnd"/>
      <w:r w:rsidRPr="00F034DB">
        <w:rPr>
          <w:rFonts w:cstheme="minorHAnsi"/>
          <w:sz w:val="20"/>
          <w:szCs w:val="20"/>
        </w:rPr>
        <w:t xml:space="preserve"> minimize </w:t>
      </w:r>
      <w:proofErr w:type="spellStart"/>
      <w:r w:rsidRPr="00F034DB">
        <w:rPr>
          <w:rFonts w:cstheme="minorHAnsi"/>
          <w:sz w:val="20"/>
          <w:szCs w:val="20"/>
        </w:rPr>
        <w:t>environmental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impacts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throughout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procurement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processes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operating</w:t>
      </w:r>
      <w:proofErr w:type="spellEnd"/>
      <w:r w:rsidRPr="00F034DB">
        <w:rPr>
          <w:rFonts w:cstheme="minorHAnsi"/>
          <w:sz w:val="20"/>
          <w:szCs w:val="20"/>
        </w:rPr>
        <w:t xml:space="preserve"> in a </w:t>
      </w:r>
      <w:proofErr w:type="spellStart"/>
      <w:r w:rsidRPr="00F034DB">
        <w:rPr>
          <w:rFonts w:cstheme="minorHAnsi"/>
          <w:sz w:val="20"/>
          <w:szCs w:val="20"/>
        </w:rPr>
        <w:t>socially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responsible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manner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467672E2" w14:textId="77777777" w:rsidR="00F034DB" w:rsidRPr="00F034DB" w:rsidRDefault="00F034DB" w:rsidP="00F034DB">
      <w:pPr>
        <w:rPr>
          <w:rFonts w:cstheme="minorHAnsi"/>
          <w:sz w:val="20"/>
          <w:szCs w:val="20"/>
        </w:rPr>
      </w:pPr>
      <w:proofErr w:type="spellStart"/>
      <w:r w:rsidRPr="00F034DB">
        <w:rPr>
          <w:rFonts w:cstheme="minorHAnsi"/>
          <w:sz w:val="20"/>
          <w:szCs w:val="20"/>
        </w:rPr>
        <w:lastRenderedPageBreak/>
        <w:t>During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implementation</w:t>
      </w:r>
      <w:proofErr w:type="spellEnd"/>
      <w:r w:rsidRPr="00F034DB">
        <w:rPr>
          <w:rFonts w:cstheme="minorHAnsi"/>
          <w:sz w:val="20"/>
          <w:szCs w:val="20"/>
        </w:rPr>
        <w:t xml:space="preserve"> of </w:t>
      </w:r>
      <w:proofErr w:type="spellStart"/>
      <w:r w:rsidRPr="00F034DB">
        <w:rPr>
          <w:rFonts w:cstheme="minorHAnsi"/>
          <w:sz w:val="20"/>
          <w:szCs w:val="20"/>
        </w:rPr>
        <w:t>this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policy</w:t>
      </w:r>
      <w:proofErr w:type="spellEnd"/>
      <w:r w:rsidRPr="00F034DB">
        <w:rPr>
          <w:rFonts w:cstheme="minorHAnsi"/>
          <w:sz w:val="20"/>
          <w:szCs w:val="20"/>
        </w:rPr>
        <w:t xml:space="preserve">, </w:t>
      </w:r>
      <w:proofErr w:type="spellStart"/>
      <w:r w:rsidRPr="00F034DB">
        <w:rPr>
          <w:rFonts w:cstheme="minorHAnsi"/>
          <w:sz w:val="20"/>
          <w:szCs w:val="20"/>
        </w:rPr>
        <w:t>we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will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create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collaboration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opportunities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support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our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suppliers</w:t>
      </w:r>
      <w:proofErr w:type="spellEnd"/>
      <w:r w:rsidRPr="00F034DB">
        <w:rPr>
          <w:rFonts w:cstheme="minorHAnsi"/>
          <w:sz w:val="20"/>
          <w:szCs w:val="20"/>
        </w:rPr>
        <w:t xml:space="preserve">’ </w:t>
      </w:r>
      <w:proofErr w:type="spellStart"/>
      <w:r w:rsidRPr="00F034DB">
        <w:rPr>
          <w:rFonts w:cstheme="minorHAnsi"/>
          <w:sz w:val="20"/>
          <w:szCs w:val="20"/>
        </w:rPr>
        <w:t>alignment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with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sustainability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goals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will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continue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to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enhance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sustainability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standards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through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regular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evaluation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and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monitoring</w:t>
      </w:r>
      <w:proofErr w:type="spellEnd"/>
      <w:r w:rsidRPr="00F034DB">
        <w:rPr>
          <w:rFonts w:cstheme="minorHAnsi"/>
          <w:sz w:val="20"/>
          <w:szCs w:val="20"/>
        </w:rPr>
        <w:t xml:space="preserve"> </w:t>
      </w:r>
      <w:proofErr w:type="spellStart"/>
      <w:r w:rsidRPr="00F034DB">
        <w:rPr>
          <w:rFonts w:cstheme="minorHAnsi"/>
          <w:sz w:val="20"/>
          <w:szCs w:val="20"/>
        </w:rPr>
        <w:t>processes</w:t>
      </w:r>
      <w:proofErr w:type="spellEnd"/>
      <w:r w:rsidRPr="00F034DB">
        <w:rPr>
          <w:rFonts w:cstheme="minorHAnsi"/>
          <w:sz w:val="20"/>
          <w:szCs w:val="20"/>
        </w:rPr>
        <w:t>.</w:t>
      </w:r>
    </w:p>
    <w:p w14:paraId="5CABA409" w14:textId="4FDE069C" w:rsidR="00B91A6A" w:rsidRPr="00F034DB" w:rsidRDefault="00B91A6A" w:rsidP="00F034DB"/>
    <w:sectPr w:rsidR="00B91A6A" w:rsidRPr="00F034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929A" w14:textId="77777777" w:rsidR="00B52943" w:rsidRDefault="00B52943" w:rsidP="00B96AD6">
      <w:pPr>
        <w:spacing w:after="0" w:line="240" w:lineRule="auto"/>
      </w:pPr>
      <w:r>
        <w:separator/>
      </w:r>
    </w:p>
  </w:endnote>
  <w:endnote w:type="continuationSeparator" w:id="0">
    <w:p w14:paraId="64CBE066" w14:textId="77777777" w:rsidR="00B52943" w:rsidRDefault="00B52943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0AAF" w14:textId="77777777" w:rsidR="00B52943" w:rsidRDefault="00B52943" w:rsidP="00B96AD6">
      <w:pPr>
        <w:spacing w:after="0" w:line="240" w:lineRule="auto"/>
      </w:pPr>
      <w:r>
        <w:separator/>
      </w:r>
    </w:p>
  </w:footnote>
  <w:footnote w:type="continuationSeparator" w:id="0">
    <w:p w14:paraId="1ECDE1FC" w14:textId="77777777" w:rsidR="00B52943" w:rsidRDefault="00B52943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52"/>
      <w:gridCol w:w="1330"/>
      <w:gridCol w:w="1184"/>
    </w:tblGrid>
    <w:tr w:rsidR="00D55E13" w:rsidRPr="00B96AD6" w14:paraId="1E717643" w14:textId="77777777" w:rsidTr="008161A6">
      <w:tc>
        <w:tcPr>
          <w:tcW w:w="1838" w:type="dxa"/>
          <w:vMerge w:val="restart"/>
        </w:tcPr>
        <w:p w14:paraId="00FFF3AF" w14:textId="1A75D59B" w:rsidR="00B96AD6" w:rsidRPr="00B96AD6" w:rsidRDefault="00DC5628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3590639E" wp14:editId="72BB3FD1">
                <wp:extent cx="1629410" cy="749300"/>
                <wp:effectExtent l="0" t="0" r="8890" b="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2" cy="777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53AF530C" w:rsidR="00B96AD6" w:rsidRPr="00B96AD6" w:rsidRDefault="00007190" w:rsidP="00B96AD6">
          <w:pPr>
            <w:jc w:val="center"/>
            <w:rPr>
              <w:b/>
              <w:bCs/>
              <w:sz w:val="20"/>
              <w:szCs w:val="20"/>
            </w:rPr>
          </w:pPr>
          <w:r w:rsidRPr="000A503C">
            <w:rPr>
              <w:b/>
              <w:bCs/>
              <w:sz w:val="20"/>
              <w:szCs w:val="20"/>
            </w:rPr>
            <w:t>SUSTAİNABLE SUPPLY CHAİN AND SUPPLİER RESPONSİBİLİTY POLİCY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1264ED30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Do</w:t>
          </w:r>
          <w:r w:rsidR="00007190">
            <w:rPr>
              <w:sz w:val="20"/>
              <w:szCs w:val="20"/>
            </w:rPr>
            <w:t>cument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7FE303F1" w:rsidR="00B96AD6" w:rsidRPr="00B96AD6" w:rsidRDefault="00B37302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1E39AB">
            <w:rPr>
              <w:sz w:val="20"/>
              <w:szCs w:val="20"/>
            </w:rPr>
            <w:t>5</w:t>
          </w:r>
        </w:p>
      </w:tc>
    </w:tr>
    <w:tr w:rsidR="00D55E13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06289EE5" w:rsidR="00B96AD6" w:rsidRPr="00B96AD6" w:rsidRDefault="00007190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Publication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Date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2901A49C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</w:t>
          </w:r>
          <w:r w:rsidR="00CE5351">
            <w:rPr>
              <w:sz w:val="20"/>
              <w:szCs w:val="20"/>
            </w:rPr>
            <w:t>7</w:t>
          </w:r>
          <w:r w:rsidRPr="00B96AD6">
            <w:rPr>
              <w:sz w:val="20"/>
              <w:szCs w:val="20"/>
            </w:rPr>
            <w:t>.2025</w:t>
          </w:r>
        </w:p>
      </w:tc>
    </w:tr>
    <w:tr w:rsidR="00D55E13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0BAA137D" w:rsidR="00B96AD6" w:rsidRPr="00B96AD6" w:rsidRDefault="00007190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Revise</w:t>
          </w:r>
          <w:proofErr w:type="spellEnd"/>
          <w:r w:rsidR="00B96AD6"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11C67E6F" w:rsidR="00B96AD6" w:rsidRPr="00B96AD6" w:rsidRDefault="000E59C6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Revise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1AC33346" w:rsidR="00B96AD6" w:rsidRPr="00B96AD6" w:rsidRDefault="000E59C6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34D"/>
    <w:multiLevelType w:val="multilevel"/>
    <w:tmpl w:val="97FC4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F3F13"/>
    <w:multiLevelType w:val="hybridMultilevel"/>
    <w:tmpl w:val="3C3413D8"/>
    <w:lvl w:ilvl="0" w:tplc="9688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E1B71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476B8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16092"/>
    <w:multiLevelType w:val="hybridMultilevel"/>
    <w:tmpl w:val="3E2200E0"/>
    <w:lvl w:ilvl="0" w:tplc="77A0976C">
      <w:numFmt w:val="bullet"/>
      <w:lvlText w:val="•"/>
      <w:lvlJc w:val="left"/>
      <w:pPr>
        <w:ind w:left="1777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AC11D3"/>
    <w:multiLevelType w:val="multilevel"/>
    <w:tmpl w:val="F02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03FC7"/>
    <w:multiLevelType w:val="multilevel"/>
    <w:tmpl w:val="C848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D1CE9"/>
    <w:multiLevelType w:val="multilevel"/>
    <w:tmpl w:val="A42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F319C"/>
    <w:multiLevelType w:val="multilevel"/>
    <w:tmpl w:val="BB0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14F27"/>
    <w:multiLevelType w:val="multilevel"/>
    <w:tmpl w:val="7E76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91829"/>
    <w:multiLevelType w:val="multilevel"/>
    <w:tmpl w:val="02C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03333"/>
    <w:multiLevelType w:val="hybridMultilevel"/>
    <w:tmpl w:val="7152C7FA"/>
    <w:lvl w:ilvl="0" w:tplc="77A097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316C"/>
    <w:multiLevelType w:val="hybridMultilevel"/>
    <w:tmpl w:val="7132F04C"/>
    <w:lvl w:ilvl="0" w:tplc="77A0976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943593">
    <w:abstractNumId w:val="1"/>
  </w:num>
  <w:num w:numId="2" w16cid:durableId="562789303">
    <w:abstractNumId w:val="6"/>
  </w:num>
  <w:num w:numId="3" w16cid:durableId="499541466">
    <w:abstractNumId w:val="3"/>
  </w:num>
  <w:num w:numId="4" w16cid:durableId="1885872853">
    <w:abstractNumId w:val="11"/>
  </w:num>
  <w:num w:numId="5" w16cid:durableId="178980385">
    <w:abstractNumId w:val="2"/>
  </w:num>
  <w:num w:numId="6" w16cid:durableId="1259020843">
    <w:abstractNumId w:val="14"/>
  </w:num>
  <w:num w:numId="7" w16cid:durableId="1445035666">
    <w:abstractNumId w:val="0"/>
  </w:num>
  <w:num w:numId="8" w16cid:durableId="410541646">
    <w:abstractNumId w:val="15"/>
  </w:num>
  <w:num w:numId="9" w16cid:durableId="1622491255">
    <w:abstractNumId w:val="7"/>
  </w:num>
  <w:num w:numId="10" w16cid:durableId="175924674">
    <w:abstractNumId w:val="4"/>
  </w:num>
  <w:num w:numId="11" w16cid:durableId="340084759">
    <w:abstractNumId w:val="5"/>
  </w:num>
  <w:num w:numId="12" w16cid:durableId="580136781">
    <w:abstractNumId w:val="9"/>
  </w:num>
  <w:num w:numId="13" w16cid:durableId="904996080">
    <w:abstractNumId w:val="10"/>
  </w:num>
  <w:num w:numId="14" w16cid:durableId="301929925">
    <w:abstractNumId w:val="8"/>
  </w:num>
  <w:num w:numId="15" w16cid:durableId="770275532">
    <w:abstractNumId w:val="12"/>
  </w:num>
  <w:num w:numId="16" w16cid:durableId="652104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07190"/>
    <w:rsid w:val="000953A5"/>
    <w:rsid w:val="000A503C"/>
    <w:rsid w:val="000E1676"/>
    <w:rsid w:val="000E59C6"/>
    <w:rsid w:val="0017575A"/>
    <w:rsid w:val="00177E04"/>
    <w:rsid w:val="001A3E0F"/>
    <w:rsid w:val="001E265C"/>
    <w:rsid w:val="001E39AB"/>
    <w:rsid w:val="00206A54"/>
    <w:rsid w:val="0021766D"/>
    <w:rsid w:val="00245422"/>
    <w:rsid w:val="00250820"/>
    <w:rsid w:val="002C5EBA"/>
    <w:rsid w:val="002D28F0"/>
    <w:rsid w:val="003049FA"/>
    <w:rsid w:val="003355E2"/>
    <w:rsid w:val="00395424"/>
    <w:rsid w:val="003F10DD"/>
    <w:rsid w:val="00483195"/>
    <w:rsid w:val="004B2EC2"/>
    <w:rsid w:val="00550CC2"/>
    <w:rsid w:val="005556E5"/>
    <w:rsid w:val="006B1C99"/>
    <w:rsid w:val="006E77E1"/>
    <w:rsid w:val="00756645"/>
    <w:rsid w:val="007E792F"/>
    <w:rsid w:val="00837104"/>
    <w:rsid w:val="00963782"/>
    <w:rsid w:val="009C3FF7"/>
    <w:rsid w:val="009F4562"/>
    <w:rsid w:val="00A45635"/>
    <w:rsid w:val="00AE1C9C"/>
    <w:rsid w:val="00B01D30"/>
    <w:rsid w:val="00B37302"/>
    <w:rsid w:val="00B5122E"/>
    <w:rsid w:val="00B52943"/>
    <w:rsid w:val="00B83D51"/>
    <w:rsid w:val="00B8422F"/>
    <w:rsid w:val="00B91A6A"/>
    <w:rsid w:val="00B96AD6"/>
    <w:rsid w:val="00BD3F4D"/>
    <w:rsid w:val="00C3538A"/>
    <w:rsid w:val="00C6524A"/>
    <w:rsid w:val="00C818E1"/>
    <w:rsid w:val="00CC1D11"/>
    <w:rsid w:val="00CE5351"/>
    <w:rsid w:val="00CE7664"/>
    <w:rsid w:val="00D0342F"/>
    <w:rsid w:val="00D53E5E"/>
    <w:rsid w:val="00D55E13"/>
    <w:rsid w:val="00D641D4"/>
    <w:rsid w:val="00D81AD6"/>
    <w:rsid w:val="00DC5628"/>
    <w:rsid w:val="00DE0A0D"/>
    <w:rsid w:val="00F034DB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  <w:style w:type="paragraph" w:styleId="NormalWeb">
    <w:name w:val="Normal (Web)"/>
    <w:basedOn w:val="Normal"/>
    <w:uiPriority w:val="99"/>
    <w:semiHidden/>
    <w:unhideWhenUsed/>
    <w:rsid w:val="00B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6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2073</Characters>
  <Application>Microsoft Office Word</Application>
  <DocSecurity>0</DocSecurity>
  <Lines>36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7</cp:revision>
  <dcterms:created xsi:type="dcterms:W3CDTF">2025-12-17T13:26:00Z</dcterms:created>
  <dcterms:modified xsi:type="dcterms:W3CDTF">2025-12-17T13:30:00Z</dcterms:modified>
</cp:coreProperties>
</file>